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2C" w:rsidRPr="00955779" w:rsidRDefault="00414648">
      <w:pPr>
        <w:rPr>
          <w:b/>
          <w:sz w:val="28"/>
          <w:szCs w:val="28"/>
          <w:lang w:val="es-MX"/>
        </w:rPr>
      </w:pPr>
      <w:proofErr w:type="gramStart"/>
      <w:r w:rsidRPr="00414648">
        <w:rPr>
          <w:rFonts w:ascii="Calibri" w:eastAsia="Calibri" w:hAnsi="Calibri" w:cs="Calibri"/>
          <w:b/>
          <w:bCs/>
          <w:sz w:val="28"/>
          <w:szCs w:val="28"/>
          <w:bdr w:val="nil"/>
          <w:lang w:val="es-ES" w:bidi="fr-FR"/>
        </w:rPr>
        <w:t>Cas :</w:t>
      </w:r>
      <w:proofErr w:type="gramEnd"/>
      <w:r w:rsidRPr="00414648">
        <w:rPr>
          <w:rFonts w:ascii="Calibri" w:eastAsia="Calibri" w:hAnsi="Calibri" w:cs="Calibri"/>
          <w:b/>
          <w:bCs/>
          <w:sz w:val="28"/>
          <w:szCs w:val="28"/>
          <w:bdr w:val="nil"/>
          <w:lang w:val="es-ES" w:bidi="fr-FR"/>
        </w:rPr>
        <w:t xml:space="preserve"> Teodora del Carmen Vásquez, Salvador</w:t>
      </w:r>
    </w:p>
    <w:p w:rsidR="00FB5E2C" w:rsidRPr="00955779" w:rsidRDefault="00FB5E2C">
      <w:pPr>
        <w:rPr>
          <w:lang w:val="es-MX"/>
        </w:rPr>
      </w:pPr>
    </w:p>
    <w:p w:rsidR="00FB5E2C" w:rsidRPr="00414648" w:rsidRDefault="000A6B5C" w:rsidP="00FB5E2C">
      <w:pPr>
        <w:pStyle w:val="Corpsdetexte"/>
        <w:spacing w:after="0"/>
        <w:rPr>
          <w:rFonts w:asciiTheme="minorHAnsi" w:hAnsiTheme="minorHAnsi"/>
          <w:sz w:val="24"/>
          <w:szCs w:val="19"/>
          <w:u w:val="single"/>
          <w:lang w:val="es-MX"/>
        </w:rPr>
      </w:pPr>
      <w:r>
        <w:rPr>
          <w:rFonts w:ascii="Calibri" w:eastAsia="Calibri" w:hAnsi="Calibri" w:cs="Calibri"/>
          <w:iCs/>
          <w:sz w:val="24"/>
          <w:u w:val="single"/>
          <w:bdr w:val="nil"/>
          <w:lang w:val="es-ES" w:bidi="fr-FR"/>
        </w:rPr>
        <w:t>M</w:t>
      </w:r>
      <w:r w:rsidR="00414648">
        <w:rPr>
          <w:rFonts w:ascii="Calibri" w:eastAsia="Calibri" w:hAnsi="Calibri" w:cs="Calibri"/>
          <w:iCs/>
          <w:sz w:val="24"/>
          <w:u w:val="single"/>
          <w:bdr w:val="nil"/>
          <w:lang w:val="es-ES" w:bidi="fr-FR"/>
        </w:rPr>
        <w:t xml:space="preserve">inistre de la </w:t>
      </w:r>
      <w:proofErr w:type="spellStart"/>
      <w:r w:rsidR="00414648">
        <w:rPr>
          <w:rFonts w:ascii="Calibri" w:eastAsia="Calibri" w:hAnsi="Calibri" w:cs="Calibri"/>
          <w:iCs/>
          <w:sz w:val="24"/>
          <w:u w:val="single"/>
          <w:bdr w:val="nil"/>
          <w:lang w:val="es-ES" w:bidi="fr-FR"/>
        </w:rPr>
        <w:t>Justice</w:t>
      </w:r>
      <w:proofErr w:type="spellEnd"/>
    </w:p>
    <w:p w:rsidR="000A6B5C" w:rsidRPr="000A6B5C" w:rsidRDefault="000A6B5C" w:rsidP="00FB5E2C">
      <w:pPr>
        <w:pStyle w:val="Corpsdetexte"/>
        <w:spacing w:after="0"/>
        <w:rPr>
          <w:rFonts w:ascii="Calibri" w:eastAsia="Calibri" w:hAnsi="Calibri" w:cs="Calibri"/>
          <w:i/>
          <w:iCs/>
          <w:sz w:val="24"/>
          <w:bdr w:val="nil"/>
          <w:lang w:val="es-ES" w:bidi="fr-FR"/>
        </w:rPr>
      </w:pPr>
      <w:r w:rsidRPr="000A6B5C">
        <w:rPr>
          <w:rFonts w:ascii="Calibri" w:eastAsia="Calibri" w:hAnsi="Calibri" w:cs="Calibri"/>
          <w:i/>
          <w:iCs/>
          <w:sz w:val="24"/>
          <w:bdr w:val="nil"/>
          <w:lang w:val="es-ES" w:bidi="fr-FR"/>
        </w:rPr>
        <w:t>Benito Antonio Lara Fernández,</w:t>
      </w:r>
    </w:p>
    <w:p w:rsidR="00FB5E2C" w:rsidRPr="00A5616F" w:rsidRDefault="00414648" w:rsidP="00FB5E2C">
      <w:pPr>
        <w:pStyle w:val="Corpsdetexte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414648">
        <w:rPr>
          <w:rFonts w:ascii="Calibri" w:eastAsia="Calibri" w:hAnsi="Calibri" w:cs="Calibri"/>
          <w:i/>
          <w:iCs/>
          <w:sz w:val="24"/>
          <w:bdr w:val="nil"/>
          <w:lang w:val="es-ES" w:bidi="fr-FR"/>
        </w:rPr>
        <w:t>Ministro de Justicia y Seguridad Pública,</w:t>
      </w:r>
    </w:p>
    <w:p w:rsidR="00FB5E2C" w:rsidRPr="00A5616F" w:rsidRDefault="00414648" w:rsidP="00FB5E2C">
      <w:pPr>
        <w:pStyle w:val="Corpsdetexte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414648">
        <w:rPr>
          <w:rFonts w:ascii="Calibri" w:eastAsia="Calibri" w:hAnsi="Calibri" w:cs="Calibri"/>
          <w:i/>
          <w:iCs/>
          <w:sz w:val="24"/>
          <w:bdr w:val="nil"/>
          <w:lang w:val="es-ES" w:bidi="fr-FR"/>
        </w:rPr>
        <w:t>17 Avenida Norte, Complejo Plan Maestro, Edificio B1, nivel 1,</w:t>
      </w:r>
    </w:p>
    <w:p w:rsidR="00FB5E2C" w:rsidRPr="00A5616F" w:rsidRDefault="00414648" w:rsidP="00FB5E2C">
      <w:pPr>
        <w:pStyle w:val="Corpsdetexte"/>
        <w:spacing w:after="0"/>
        <w:rPr>
          <w:rFonts w:asciiTheme="minorHAnsi" w:hAnsiTheme="minorHAnsi"/>
          <w:i/>
          <w:sz w:val="24"/>
          <w:szCs w:val="19"/>
          <w:lang w:val="es-MX"/>
        </w:rPr>
      </w:pPr>
      <w:proofErr w:type="spellStart"/>
      <w:r w:rsidRPr="00414648">
        <w:rPr>
          <w:rFonts w:ascii="Calibri" w:eastAsia="Calibri" w:hAnsi="Calibri" w:cs="Calibri"/>
          <w:i/>
          <w:iCs/>
          <w:sz w:val="24"/>
          <w:bdr w:val="nil"/>
          <w:lang w:val="es-ES" w:bidi="fr-FR"/>
        </w:rPr>
        <w:t>Alamenda</w:t>
      </w:r>
      <w:proofErr w:type="spellEnd"/>
      <w:r w:rsidRPr="00414648">
        <w:rPr>
          <w:rFonts w:ascii="Calibri" w:eastAsia="Calibri" w:hAnsi="Calibri" w:cs="Calibri"/>
          <w:i/>
          <w:iCs/>
          <w:sz w:val="24"/>
          <w:bdr w:val="nil"/>
          <w:lang w:val="es-ES" w:bidi="fr-FR"/>
        </w:rPr>
        <w:t xml:space="preserve"> Juan Pablo II,</w:t>
      </w:r>
    </w:p>
    <w:p w:rsidR="00FB5E2C" w:rsidRPr="00A5616F" w:rsidRDefault="00414648" w:rsidP="00FB5E2C">
      <w:pPr>
        <w:pStyle w:val="Corpsdetexte"/>
        <w:spacing w:after="0"/>
        <w:rPr>
          <w:rFonts w:asciiTheme="minorHAnsi" w:hAnsiTheme="minorHAnsi"/>
          <w:i/>
          <w:sz w:val="24"/>
          <w:szCs w:val="19"/>
          <w:lang w:val="es-MX"/>
        </w:rPr>
      </w:pPr>
      <w:r w:rsidRPr="00414648">
        <w:rPr>
          <w:rFonts w:ascii="Calibri" w:eastAsia="Calibri" w:hAnsi="Calibri" w:cs="Calibri"/>
          <w:i/>
          <w:iCs/>
          <w:sz w:val="24"/>
          <w:bdr w:val="nil"/>
          <w:lang w:val="es-ES" w:bidi="fr-FR"/>
        </w:rPr>
        <w:t>San Salvador, Salvador</w:t>
      </w:r>
    </w:p>
    <w:p w:rsidR="00FB5E2C" w:rsidRPr="00955779" w:rsidRDefault="00FB5E2C">
      <w:pPr>
        <w:rPr>
          <w:lang w:val="es-MX"/>
        </w:rPr>
      </w:pPr>
    </w:p>
    <w:p w:rsidR="00FB5E2C" w:rsidRPr="00414648" w:rsidRDefault="00414648" w:rsidP="00D76CB5">
      <w:pPr>
        <w:rPr>
          <w:sz w:val="24"/>
          <w:szCs w:val="19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Monsieur le Ministre,</w:t>
      </w:r>
    </w:p>
    <w:p w:rsidR="00FB5E2C" w:rsidRPr="00414648" w:rsidRDefault="00414648" w:rsidP="00FB5E2C">
      <w:pPr>
        <w:rPr>
          <w:rFonts w:cs="Arial"/>
          <w:bCs/>
          <w:sz w:val="24"/>
          <w:lang w:val="fr-FR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Teodora</w:t>
      </w:r>
      <w:proofErr w:type="spellEnd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del</w:t>
      </w:r>
      <w:proofErr w:type="spellEnd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Carmen </w:t>
      </w:r>
      <w:proofErr w:type="spellStart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Vásquez</w:t>
      </w:r>
      <w:proofErr w:type="spellEnd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purge actuellement une peine de 30 ans de prison pour homicide </w:t>
      </w:r>
      <w:r w:rsidR="00FB5E2C"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avec circonstances aggravantes</w:t>
      </w:r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après avoir accouché d'un enfant mort-né sur son lieu de travail. Elle a été présumée coupable d'« avortement » au lieu d'être considérée comme une victime potentielle de complications liées à sa grossesse.</w:t>
      </w:r>
    </w:p>
    <w:p w:rsidR="00FB5E2C" w:rsidRPr="00414648" w:rsidRDefault="00414648" w:rsidP="00D76CB5">
      <w:pPr>
        <w:rPr>
          <w:rFonts w:cs="Arial"/>
          <w:bCs/>
          <w:color w:val="0000FF"/>
          <w:sz w:val="24"/>
          <w:szCs w:val="24"/>
          <w:lang w:val="fr-FR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Teodora</w:t>
      </w:r>
      <w:proofErr w:type="spellEnd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del</w:t>
      </w:r>
      <w:proofErr w:type="spellEnd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Carmen </w:t>
      </w:r>
      <w:proofErr w:type="spellStart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Vásquez</w:t>
      </w:r>
      <w:proofErr w:type="spellEnd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a été jugée lors d'un procès entaché d'irrégularité et </w:t>
      </w:r>
      <w:r w:rsidR="0063295E"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de manquements au regard des procédures légales</w:t>
      </w:r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. Elle </w:t>
      </w:r>
      <w:r w:rsidR="0063295E"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était</w:t>
      </w:r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présumée coupable et, comme elle est issue d'une famille pauvre, elle n'avait pas les moyens de se faire représenter par une équipe juridique efficace.</w:t>
      </w:r>
    </w:p>
    <w:p w:rsidR="00FB5E2C" w:rsidRPr="00414648" w:rsidRDefault="00414648" w:rsidP="00FB5E2C">
      <w:pPr>
        <w:rPr>
          <w:rFonts w:cs="Arial"/>
          <w:bCs/>
          <w:sz w:val="24"/>
          <w:lang w:val="fr-FR"/>
        </w:rPr>
      </w:pPr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C’est pourquoi je vous demande, Monsieur le Ministre :</w:t>
      </w:r>
    </w:p>
    <w:p w:rsidR="00FB5E2C" w:rsidRPr="00414648" w:rsidRDefault="00414648" w:rsidP="00FB5E2C">
      <w:pPr>
        <w:pStyle w:val="Paragraphedeliste"/>
        <w:numPr>
          <w:ilvl w:val="0"/>
          <w:numId w:val="4"/>
        </w:numPr>
        <w:rPr>
          <w:rFonts w:asciiTheme="minorHAnsi" w:hAnsiTheme="minorHAnsi" w:cs="Arial"/>
          <w:bCs/>
          <w:sz w:val="24"/>
          <w:lang w:val="fr-FR"/>
        </w:rPr>
      </w:pPr>
      <w:r>
        <w:rPr>
          <w:rFonts w:ascii="Calibri" w:eastAsia="Calibri" w:hAnsi="Calibri" w:cs="Calibri"/>
          <w:bCs/>
          <w:sz w:val="24"/>
          <w:bdr w:val="nil"/>
          <w:lang w:val="fr-FR" w:bidi="fr-FR"/>
        </w:rPr>
        <w:t>de prendre des mesures pour veiller à ce que Teodora del Carmen Vásquez soit immédiatement libérée ;</w:t>
      </w:r>
      <w:r>
        <w:rPr>
          <w:rFonts w:ascii="Calibri" w:eastAsia="Calibri" w:hAnsi="Calibri" w:cs="Calibri"/>
          <w:bCs/>
          <w:sz w:val="24"/>
          <w:bdr w:val="nil"/>
          <w:lang w:val="fr-FR" w:bidi="fr-FR"/>
        </w:rPr>
        <w:br/>
      </w:r>
    </w:p>
    <w:p w:rsidR="00FB5E2C" w:rsidRPr="00414648" w:rsidRDefault="00414648" w:rsidP="00FB5E2C">
      <w:pPr>
        <w:pStyle w:val="Paragraphedeliste"/>
        <w:numPr>
          <w:ilvl w:val="0"/>
          <w:numId w:val="4"/>
        </w:numPr>
        <w:rPr>
          <w:rFonts w:asciiTheme="minorHAnsi" w:hAnsiTheme="minorHAnsi" w:cs="Arial"/>
          <w:bCs/>
          <w:sz w:val="24"/>
          <w:lang w:val="fr-FR"/>
        </w:rPr>
      </w:pPr>
      <w:r>
        <w:rPr>
          <w:rFonts w:ascii="Calibri" w:eastAsia="Calibri" w:hAnsi="Calibri" w:cs="Calibri"/>
          <w:bCs/>
          <w:sz w:val="24"/>
          <w:bdr w:val="nil"/>
          <w:lang w:val="fr-FR" w:bidi="fr-FR"/>
        </w:rPr>
        <w:t>de prendre des mesures pour faire libérer toutes les autres femmes incarcérées à la suite de complications liées à leur grossesse et qui ont épuisé toutes les autres voies de recours.</w:t>
      </w:r>
    </w:p>
    <w:p w:rsidR="00FB5E2C" w:rsidRPr="00414648" w:rsidRDefault="00414648" w:rsidP="00D76CB5">
      <w:pPr>
        <w:rPr>
          <w:rFonts w:cs="Arial"/>
          <w:bCs/>
          <w:sz w:val="24"/>
          <w:lang w:val="fr-FR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Teodora</w:t>
      </w:r>
      <w:proofErr w:type="spellEnd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del</w:t>
      </w:r>
      <w:proofErr w:type="spellEnd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Carmen </w:t>
      </w:r>
      <w:proofErr w:type="spellStart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>Vásquez</w:t>
      </w:r>
      <w:proofErr w:type="spellEnd"/>
      <w:r>
        <w:rPr>
          <w:rFonts w:ascii="Calibri" w:eastAsia="Calibri" w:hAnsi="Calibri" w:cs="Calibri"/>
          <w:bCs/>
          <w:sz w:val="24"/>
          <w:szCs w:val="24"/>
          <w:bdr w:val="nil"/>
          <w:lang w:val="fr-FR" w:bidi="fr-FR"/>
        </w:rPr>
        <w:t xml:space="preserve"> a déjà passé plus de huit ans en prison. Elle demande désormais que sa peine soit commuée. Son dernier espoir est entre vos mains.</w:t>
      </w:r>
    </w:p>
    <w:p w:rsidR="00FB5E2C" w:rsidRPr="00414648" w:rsidRDefault="00414648" w:rsidP="00FB5E2C">
      <w:pPr>
        <w:rPr>
          <w:rFonts w:cs="Arial"/>
          <w:bCs/>
          <w:sz w:val="24"/>
          <w:lang w:val="fr-FR"/>
        </w:rPr>
      </w:pP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Veuillez agréer</w:t>
      </w:r>
      <w:r w:rsidR="000252E9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, Monsieur le Ministre,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 l’expression de ma </w:t>
      </w:r>
      <w:r w:rsidR="000252E9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 xml:space="preserve">haute </w:t>
      </w:r>
      <w:r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con</w:t>
      </w:r>
      <w:r w:rsidR="00A96527">
        <w:rPr>
          <w:rFonts w:ascii="Calibri" w:eastAsia="Calibri" w:hAnsi="Calibri" w:cs="Calibri"/>
          <w:sz w:val="24"/>
          <w:szCs w:val="24"/>
          <w:bdr w:val="nil"/>
          <w:lang w:val="fr-FR" w:bidi="fr-FR"/>
        </w:rPr>
        <w:t>sidération.</w:t>
      </w:r>
      <w:bookmarkStart w:id="0" w:name="_GoBack"/>
      <w:bookmarkEnd w:id="0"/>
    </w:p>
    <w:p w:rsidR="00FB5E2C" w:rsidRPr="00414648" w:rsidRDefault="00FB5E2C" w:rsidP="00FB5E2C">
      <w:pPr>
        <w:spacing w:after="0"/>
        <w:rPr>
          <w:i/>
          <w:color w:val="0000FF"/>
          <w:sz w:val="24"/>
          <w:szCs w:val="24"/>
          <w:lang w:val="fr-FR"/>
        </w:rPr>
      </w:pPr>
    </w:p>
    <w:sectPr w:rsidR="00FB5E2C" w:rsidRPr="00414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E9" w:rsidRDefault="000252E9" w:rsidP="000252E9">
      <w:pPr>
        <w:spacing w:after="0" w:line="240" w:lineRule="auto"/>
      </w:pPr>
      <w:r>
        <w:separator/>
      </w:r>
    </w:p>
  </w:endnote>
  <w:endnote w:type="continuationSeparator" w:id="0">
    <w:p w:rsidR="000252E9" w:rsidRDefault="000252E9" w:rsidP="0002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altName w:val="Arial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E9" w:rsidRDefault="000252E9" w:rsidP="000252E9">
      <w:pPr>
        <w:spacing w:after="0" w:line="240" w:lineRule="auto"/>
      </w:pPr>
      <w:r>
        <w:separator/>
      </w:r>
    </w:p>
  </w:footnote>
  <w:footnote w:type="continuationSeparator" w:id="0">
    <w:p w:rsidR="000252E9" w:rsidRDefault="000252E9" w:rsidP="0002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hybridMultilevel"/>
    <w:tmpl w:val="F13C174E"/>
    <w:lvl w:ilvl="0" w:tplc="45146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3E00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9A75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FEE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D2ED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C4E5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D45F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767A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B04A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E51FC"/>
    <w:multiLevelType w:val="hybridMultilevel"/>
    <w:tmpl w:val="06B48F34"/>
    <w:lvl w:ilvl="0" w:tplc="1CC2C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4C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69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2B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64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A9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E3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64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ED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B7516"/>
    <w:multiLevelType w:val="hybridMultilevel"/>
    <w:tmpl w:val="364A0CA4"/>
    <w:lvl w:ilvl="0" w:tplc="6B10C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ACC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D2E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6C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45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A3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6A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45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3A9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E9A"/>
    <w:multiLevelType w:val="hybridMultilevel"/>
    <w:tmpl w:val="B8BEEE82"/>
    <w:lvl w:ilvl="0" w:tplc="1D884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A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87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89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6C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5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EA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E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4C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48"/>
    <w:rsid w:val="000252E9"/>
    <w:rsid w:val="000A6B5C"/>
    <w:rsid w:val="00414648"/>
    <w:rsid w:val="00460D57"/>
    <w:rsid w:val="0063295E"/>
    <w:rsid w:val="00A96527"/>
    <w:rsid w:val="00D76CB5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561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A5616F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A5616F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561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61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616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16F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8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8F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2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2E9"/>
  </w:style>
  <w:style w:type="paragraph" w:styleId="Pieddepage">
    <w:name w:val="footer"/>
    <w:basedOn w:val="Normal"/>
    <w:link w:val="PieddepageCar"/>
    <w:uiPriority w:val="99"/>
    <w:unhideWhenUsed/>
    <w:rsid w:val="0002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561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A5616F"/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A5616F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561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61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616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16F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8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8F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2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2E9"/>
  </w:style>
  <w:style w:type="paragraph" w:styleId="Pieddepage">
    <w:name w:val="footer"/>
    <w:basedOn w:val="Normal"/>
    <w:link w:val="PieddepageCar"/>
    <w:uiPriority w:val="99"/>
    <w:unhideWhenUsed/>
    <w:rsid w:val="0002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Teodora del Carmen Vásquez, Salvador</dc:title>
  <dc:creator>AILRC-FR</dc:creator>
  <dc:description>Écrire pour les droits, septembre 2015</dc:description>
  <cp:lastModifiedBy>Oriane Ariaudo</cp:lastModifiedBy>
  <cp:revision>6</cp:revision>
  <cp:lastPrinted>2015-09-02T22:54:00Z</cp:lastPrinted>
  <dcterms:created xsi:type="dcterms:W3CDTF">2015-09-17T09:39:00Z</dcterms:created>
  <dcterms:modified xsi:type="dcterms:W3CDTF">2015-09-18T09:11:00Z</dcterms:modified>
  <cp:category>Document public</cp:category>
</cp:coreProperties>
</file>