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04" w:rsidRPr="00AD3B10" w:rsidRDefault="00AD3B10">
      <w:pPr>
        <w:rPr>
          <w:b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fr-FR" w:bidi="fr-FR"/>
        </w:rPr>
        <w:t>Cas : Albert Woodfox, États-Unis</w:t>
      </w:r>
    </w:p>
    <w:p w:rsidR="006E5004" w:rsidRPr="00AD3B10" w:rsidRDefault="006E5004" w:rsidP="006E5004">
      <w:pPr>
        <w:spacing w:after="0"/>
        <w:rPr>
          <w:sz w:val="19"/>
          <w:szCs w:val="19"/>
          <w:lang w:val="fr-FR"/>
        </w:rPr>
      </w:pPr>
    </w:p>
    <w:p w:rsidR="00AD3B10" w:rsidRPr="00AD3B10" w:rsidRDefault="00AD3B10" w:rsidP="006E5004">
      <w:pPr>
        <w:spacing w:after="0"/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</w:pPr>
      <w:r w:rsidRPr="00AD3B10"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  <w:t>Procureur général de l’État de Louisiane</w:t>
      </w:r>
    </w:p>
    <w:p w:rsidR="006E5004" w:rsidRPr="005108C6" w:rsidRDefault="00AD3B10" w:rsidP="006E5004">
      <w:pPr>
        <w:spacing w:after="0"/>
        <w:rPr>
          <w:i/>
          <w:sz w:val="24"/>
          <w:szCs w:val="24"/>
        </w:rPr>
      </w:pPr>
      <w:r w:rsidRPr="00AD3B10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Attorney General of Louisiana,</w:t>
      </w:r>
    </w:p>
    <w:p w:rsidR="006E5004" w:rsidRPr="005108C6" w:rsidRDefault="00AD3B10" w:rsidP="006E5004">
      <w:pPr>
        <w:spacing w:after="0"/>
        <w:rPr>
          <w:i/>
          <w:sz w:val="24"/>
          <w:szCs w:val="24"/>
        </w:rPr>
      </w:pPr>
      <w:r w:rsidRPr="00AD3B10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Office of the Attorney General,</w:t>
      </w:r>
    </w:p>
    <w:p w:rsidR="006E5004" w:rsidRPr="005108C6" w:rsidRDefault="00AD3B10" w:rsidP="006E5004">
      <w:pPr>
        <w:spacing w:after="0"/>
        <w:rPr>
          <w:i/>
          <w:sz w:val="24"/>
          <w:szCs w:val="24"/>
        </w:rPr>
      </w:pPr>
      <w:r w:rsidRPr="00AD3B10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1885 North Third Street</w:t>
      </w:r>
    </w:p>
    <w:p w:rsidR="006E5004" w:rsidRPr="005108C6" w:rsidRDefault="00AD3B10" w:rsidP="006E5004">
      <w:pPr>
        <w:spacing w:after="0"/>
        <w:rPr>
          <w:i/>
          <w:sz w:val="24"/>
          <w:szCs w:val="24"/>
          <w:lang w:val="fr-FR"/>
        </w:rPr>
      </w:pPr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Baton Rouge</w:t>
      </w:r>
    </w:p>
    <w:p w:rsidR="006E5004" w:rsidRPr="005108C6" w:rsidRDefault="00AD3B10" w:rsidP="006E5004">
      <w:pPr>
        <w:spacing w:after="0"/>
        <w:rPr>
          <w:i/>
          <w:sz w:val="24"/>
          <w:szCs w:val="24"/>
          <w:lang w:val="fr-FR"/>
        </w:rPr>
      </w:pPr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LA 70802</w:t>
      </w:r>
    </w:p>
    <w:p w:rsidR="006E5004" w:rsidRPr="005108C6" w:rsidRDefault="00AD3B10" w:rsidP="006E5004">
      <w:pPr>
        <w:spacing w:after="0"/>
        <w:rPr>
          <w:i/>
          <w:sz w:val="24"/>
          <w:szCs w:val="24"/>
          <w:lang w:val="fr-FR"/>
        </w:rPr>
      </w:pPr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États-Unis</w:t>
      </w:r>
    </w:p>
    <w:p w:rsidR="006E5004" w:rsidRPr="00AD3B10" w:rsidRDefault="006E5004">
      <w:pPr>
        <w:rPr>
          <w:lang w:val="fr-FR"/>
        </w:rPr>
      </w:pPr>
    </w:p>
    <w:p w:rsidR="006E5004" w:rsidRPr="00AD3B10" w:rsidRDefault="00AD3B10" w:rsidP="00144E26">
      <w:pPr>
        <w:rPr>
          <w:sz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Monsieur le Procureur général,</w:t>
      </w:r>
    </w:p>
    <w:p w:rsidR="006E5004" w:rsidRPr="00AD3B10" w:rsidRDefault="00AD3B10" w:rsidP="00144E26">
      <w:pPr>
        <w:rPr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Albert Woodfox, incarcéré en Louisiane, est détenu depuis plus de 40 ans à l'isolement pour un crime qu'il a toujours nié avoir commis. Ces décennies d'isolement et de privations</w:t>
      </w:r>
      <w:r w:rsidR="006E5004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,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qualifiées de torture par le rapporteur spécial des Nations unies sur la torture</w:t>
      </w:r>
      <w:r w:rsidR="006E5004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,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ont eu des </w:t>
      </w:r>
      <w:r w:rsidR="006E5004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répercussions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dramatiques sur sa santé.</w:t>
      </w:r>
    </w:p>
    <w:p w:rsidR="006E5004" w:rsidRPr="00AD3B10" w:rsidRDefault="006E5004">
      <w:pPr>
        <w:rPr>
          <w:sz w:val="24"/>
          <w:lang w:val="fr-FR"/>
        </w:rPr>
      </w:pPr>
      <w:r w:rsidRPr="006E5004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La procédure judiciaire à son encontre a été à tel point entachée d'irrégularités que sa condamnation a été annulée trois fois, et pourtant cet homme n'a toujours pas été libéré.</w:t>
      </w:r>
      <w:r w:rsidR="00AD3B10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Aucune preuve matérielle ne le reliait au crime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pour lequel il a été condamné</w:t>
      </w:r>
      <w:r w:rsidR="00AD3B10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et sa culpabilité présumée reposait essentiellement sur la déclaration douteuse d’un autre détenu, qui 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a </w:t>
      </w:r>
      <w:r w:rsidR="00AD3B10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été gracié en échange de son témoignage.</w:t>
      </w:r>
    </w:p>
    <w:p w:rsidR="006E5004" w:rsidRPr="00AD3B10" w:rsidRDefault="00AD3B10" w:rsidP="003A74CC">
      <w:pPr>
        <w:rPr>
          <w:sz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En tant que procureur général de l'État de Louisiane, vous avez le pouvoir de mettre fin à cette injustice. Après des décennies de conditions cruelles et inhumaines en détention à l'isolement, je vous demande d'autoriser la libération immédiate d</w:t>
      </w:r>
      <w:r w:rsidR="003A74CC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’Albert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Woodfox.</w:t>
      </w:r>
    </w:p>
    <w:p w:rsidR="006E5004" w:rsidRPr="00AD3B10" w:rsidRDefault="006E5004">
      <w:pPr>
        <w:rPr>
          <w:sz w:val="24"/>
          <w:lang w:val="fr-FR"/>
        </w:rPr>
      </w:pPr>
    </w:p>
    <w:p w:rsidR="006E5004" w:rsidRPr="00AD3B10" w:rsidRDefault="00AD3B10" w:rsidP="00321E6D">
      <w:pPr>
        <w:rPr>
          <w:sz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Veuillez agréer</w:t>
      </w:r>
      <w:r w:rsidR="003A74CC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, Monsieur le Procureur général,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l’expression de ma considération</w:t>
      </w:r>
      <w:r w:rsidR="000F2CEE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distinguée</w:t>
      </w:r>
      <w:bookmarkStart w:id="0" w:name="_GoBack"/>
      <w:bookmarkEnd w:id="0"/>
      <w:r w:rsidR="00321E6D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.</w:t>
      </w:r>
    </w:p>
    <w:sectPr w:rsidR="006E5004" w:rsidRPr="00AD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04" w:rsidRDefault="006E5004" w:rsidP="006E5004">
      <w:pPr>
        <w:spacing w:after="0" w:line="240" w:lineRule="auto"/>
      </w:pPr>
      <w:r>
        <w:separator/>
      </w:r>
    </w:p>
  </w:endnote>
  <w:endnote w:type="continuationSeparator" w:id="0">
    <w:p w:rsidR="006E5004" w:rsidRDefault="006E5004" w:rsidP="006E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ria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04" w:rsidRDefault="006E5004" w:rsidP="006E5004">
      <w:pPr>
        <w:spacing w:after="0" w:line="240" w:lineRule="auto"/>
      </w:pPr>
      <w:r>
        <w:separator/>
      </w:r>
    </w:p>
  </w:footnote>
  <w:footnote w:type="continuationSeparator" w:id="0">
    <w:p w:rsidR="006E5004" w:rsidRDefault="006E5004" w:rsidP="006E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975"/>
    <w:multiLevelType w:val="hybridMultilevel"/>
    <w:tmpl w:val="00AE6994"/>
    <w:lvl w:ilvl="0" w:tplc="41966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1A32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7E69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A092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38CF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209F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0E51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58A2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F4F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829F4"/>
    <w:multiLevelType w:val="hybridMultilevel"/>
    <w:tmpl w:val="3D5A09D0"/>
    <w:lvl w:ilvl="0" w:tplc="AC3639AC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1" w:tplc="E6083D98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765C3930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67A0D098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D02834A8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903A9AA4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2BEA269A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529A66D8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C26E9934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">
    <w:nsid w:val="4AB12FC5"/>
    <w:multiLevelType w:val="hybridMultilevel"/>
    <w:tmpl w:val="9CFE3468"/>
    <w:lvl w:ilvl="0" w:tplc="37F6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C3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82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8A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E6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08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0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8F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03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244B8"/>
    <w:multiLevelType w:val="hybridMultilevel"/>
    <w:tmpl w:val="F10E2A1C"/>
    <w:lvl w:ilvl="0" w:tplc="6876DF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40C03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24CA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E2FF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7C94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3C36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C2E2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04BC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44EA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10"/>
    <w:rsid w:val="000F2CEE"/>
    <w:rsid w:val="00144E26"/>
    <w:rsid w:val="00286E2D"/>
    <w:rsid w:val="00321E6D"/>
    <w:rsid w:val="003A74CC"/>
    <w:rsid w:val="006E5004"/>
    <w:rsid w:val="00A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108C6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108C6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108C6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108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08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08C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8C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004"/>
  </w:style>
  <w:style w:type="paragraph" w:styleId="Pieddepage">
    <w:name w:val="footer"/>
    <w:basedOn w:val="Normal"/>
    <w:link w:val="PieddepageCar"/>
    <w:uiPriority w:val="99"/>
    <w:unhideWhenUsed/>
    <w:rsid w:val="006E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108C6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108C6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108C6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108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08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08C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8C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004"/>
  </w:style>
  <w:style w:type="paragraph" w:styleId="Pieddepage">
    <w:name w:val="footer"/>
    <w:basedOn w:val="Normal"/>
    <w:link w:val="PieddepageCar"/>
    <w:uiPriority w:val="99"/>
    <w:unhideWhenUsed/>
    <w:rsid w:val="006E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8455-758C-42AA-A4DF-DBE3710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Albert Woodfox, États-Unis</vt:lpstr>
      <vt:lpstr/>
    </vt:vector>
  </TitlesOfParts>
  <Company>Amnesty International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Woodfox, États-Unis</dc:title>
  <dc:creator>AILRC-FR</dc:creator>
  <dc:description>Écrire pour les droits, septembre 2015</dc:description>
  <cp:lastModifiedBy>Oriane Ariaudo</cp:lastModifiedBy>
  <cp:revision>4</cp:revision>
  <dcterms:created xsi:type="dcterms:W3CDTF">2015-09-17T16:08:00Z</dcterms:created>
  <dcterms:modified xsi:type="dcterms:W3CDTF">2015-09-18T09:57:00Z</dcterms:modified>
  <cp:category>document public</cp:category>
</cp:coreProperties>
</file>